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jc w:val="center"/>
        <w:tblLayout w:type="fixed"/>
        <w:tblLook w:val="00A0" w:firstRow="1" w:lastRow="0" w:firstColumn="1" w:lastColumn="0" w:noHBand="0" w:noVBand="0"/>
      </w:tblPr>
      <w:tblGrid>
        <w:gridCol w:w="3056"/>
        <w:gridCol w:w="3840"/>
        <w:gridCol w:w="3544"/>
      </w:tblGrid>
      <w:tr w:rsidR="008F0047" w:rsidRPr="00A94578" w14:paraId="26C12306" w14:textId="77777777" w:rsidTr="00007E78">
        <w:trPr>
          <w:trHeight w:val="1340"/>
          <w:jc w:val="center"/>
        </w:trPr>
        <w:tc>
          <w:tcPr>
            <w:tcW w:w="3056" w:type="dxa"/>
            <w:vAlign w:val="center"/>
          </w:tcPr>
          <w:p w14:paraId="3D785BFF" w14:textId="54AE13EA" w:rsidR="008F0047" w:rsidRPr="00A94578" w:rsidRDefault="006A741C" w:rsidP="006B025E">
            <w:pPr>
              <w:jc w:val="center"/>
              <w:rPr>
                <w:rFonts w:ascii="Arial" w:hAnsi="Arial" w:cs="Arial"/>
                <w:sz w:val="22"/>
                <w:szCs w:val="22"/>
              </w:rPr>
            </w:pPr>
            <w:r w:rsidRPr="005578B8">
              <w:rPr>
                <w:rFonts w:ascii="Arial" w:hAnsi="Arial" w:cs="Arial"/>
                <w:noProof/>
                <w:sz w:val="22"/>
                <w:szCs w:val="22"/>
              </w:rPr>
              <w:drawing>
                <wp:inline distT="0" distB="0" distL="0" distR="0" wp14:anchorId="353ECB2E" wp14:editId="45056F04">
                  <wp:extent cx="1803400" cy="392430"/>
                  <wp:effectExtent l="0" t="0" r="6350" b="7620"/>
                  <wp:docPr id="21510" name="Picture 2">
                    <a:extLst xmlns:a="http://schemas.openxmlformats.org/drawingml/2006/main">
                      <a:ext uri="{FF2B5EF4-FFF2-40B4-BE49-F238E27FC236}">
                        <a16:creationId xmlns:a16="http://schemas.microsoft.com/office/drawing/2014/main" id="{68A176C2-184E-B138-01B2-08426E6F9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0" name="Picture 2">
                            <a:extLst>
                              <a:ext uri="{FF2B5EF4-FFF2-40B4-BE49-F238E27FC236}">
                                <a16:creationId xmlns:a16="http://schemas.microsoft.com/office/drawing/2014/main" id="{68A176C2-184E-B138-01B2-08426E6F98A9}"/>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400" cy="392430"/>
                          </a:xfrm>
                          <a:prstGeom prst="rect">
                            <a:avLst/>
                          </a:prstGeom>
                          <a:noFill/>
                          <a:ln>
                            <a:noFill/>
                          </a:ln>
                        </pic:spPr>
                      </pic:pic>
                    </a:graphicData>
                  </a:graphic>
                </wp:inline>
              </w:drawing>
            </w:r>
          </w:p>
        </w:tc>
        <w:tc>
          <w:tcPr>
            <w:tcW w:w="3840" w:type="dxa"/>
            <w:vAlign w:val="center"/>
          </w:tcPr>
          <w:p w14:paraId="4D6E167C" w14:textId="2D90047D" w:rsidR="008F0047" w:rsidRPr="00A94578" w:rsidRDefault="00007E78" w:rsidP="006B025E">
            <w:pPr>
              <w:pStyle w:val="BodyText"/>
              <w:jc w:val="center"/>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7CEF161D" wp14:editId="6065BB64">
                  <wp:simplePos x="0" y="0"/>
                  <wp:positionH relativeFrom="column">
                    <wp:posOffset>712470</wp:posOffset>
                  </wp:positionH>
                  <wp:positionV relativeFrom="paragraph">
                    <wp:posOffset>33655</wp:posOffset>
                  </wp:positionV>
                  <wp:extent cx="1304925" cy="1304925"/>
                  <wp:effectExtent l="0" t="0" r="9525" b="9525"/>
                  <wp:wrapNone/>
                  <wp:docPr id="348326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26103" name="Picture 348326103"/>
                          <pic:cNvPicPr/>
                        </pic:nvPicPr>
                        <pic:blipFill>
                          <a:blip r:embed="rId8">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margin">
                    <wp14:pctWidth>0</wp14:pctWidth>
                  </wp14:sizeRelH>
                  <wp14:sizeRelV relativeFrom="margin">
                    <wp14:pctHeight>0</wp14:pctHeight>
                  </wp14:sizeRelV>
                </wp:anchor>
              </w:drawing>
            </w:r>
          </w:p>
          <w:p w14:paraId="13616C84" w14:textId="6CD11E9B" w:rsidR="008F0047" w:rsidRPr="00A94578" w:rsidRDefault="008F0047" w:rsidP="006B025E">
            <w:pPr>
              <w:pStyle w:val="BodyText"/>
              <w:jc w:val="center"/>
              <w:rPr>
                <w:rFonts w:ascii="Arial" w:hAnsi="Arial" w:cs="Arial"/>
                <w:sz w:val="22"/>
                <w:szCs w:val="22"/>
              </w:rPr>
            </w:pPr>
          </w:p>
        </w:tc>
        <w:tc>
          <w:tcPr>
            <w:tcW w:w="3544" w:type="dxa"/>
            <w:vAlign w:val="center"/>
          </w:tcPr>
          <w:p w14:paraId="1B8CB2C9" w14:textId="77777777" w:rsidR="008F0047" w:rsidRPr="00A94578" w:rsidRDefault="008F0047" w:rsidP="006B025E">
            <w:pPr>
              <w:pStyle w:val="NormalWeb"/>
              <w:spacing w:before="0" w:beforeAutospacing="0" w:after="0" w:afterAutospacing="0"/>
              <w:ind w:left="612"/>
              <w:jc w:val="center"/>
              <w:rPr>
                <w:rFonts w:ascii="Arial" w:hAnsi="Arial" w:cs="Arial"/>
                <w:sz w:val="22"/>
                <w:szCs w:val="22"/>
              </w:rPr>
            </w:pPr>
          </w:p>
          <w:p w14:paraId="7FB390A6" w14:textId="6B746EF1" w:rsidR="008F0047" w:rsidRPr="00A94578" w:rsidRDefault="006A741C" w:rsidP="006B025E">
            <w:pPr>
              <w:ind w:left="72"/>
              <w:jc w:val="center"/>
              <w:rPr>
                <w:rFonts w:ascii="Arial" w:hAnsi="Arial" w:cs="Arial"/>
                <w:sz w:val="22"/>
                <w:szCs w:val="22"/>
              </w:rPr>
            </w:pPr>
            <w:r>
              <w:rPr>
                <w:rFonts w:ascii="Arial" w:hAnsi="Arial" w:cs="Arial"/>
                <w:noProof/>
                <w:sz w:val="22"/>
                <w:szCs w:val="22"/>
              </w:rPr>
              <w:drawing>
                <wp:inline distT="0" distB="0" distL="0" distR="0" wp14:anchorId="6CD10F2E" wp14:editId="2B404CD3">
                  <wp:extent cx="1009650" cy="752475"/>
                  <wp:effectExtent l="0" t="0" r="0" b="9525"/>
                  <wp:docPr id="2" name="Picture 2" descr="IE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752475"/>
                          </a:xfrm>
                          <a:prstGeom prst="rect">
                            <a:avLst/>
                          </a:prstGeom>
                          <a:noFill/>
                          <a:ln>
                            <a:noFill/>
                          </a:ln>
                        </pic:spPr>
                      </pic:pic>
                    </a:graphicData>
                  </a:graphic>
                </wp:inline>
              </w:drawing>
            </w:r>
          </w:p>
        </w:tc>
      </w:tr>
      <w:tr w:rsidR="008F0047" w:rsidRPr="00A94578" w14:paraId="60261749" w14:textId="77777777" w:rsidTr="00007E78">
        <w:trPr>
          <w:trHeight w:val="989"/>
          <w:jc w:val="center"/>
        </w:trPr>
        <w:tc>
          <w:tcPr>
            <w:tcW w:w="3056" w:type="dxa"/>
          </w:tcPr>
          <w:p w14:paraId="5A695440" w14:textId="7E1677AF" w:rsidR="008F0047" w:rsidRPr="008F0047" w:rsidRDefault="006A741C" w:rsidP="008F0047">
            <w:pPr>
              <w:jc w:val="center"/>
              <w:rPr>
                <w:rFonts w:ascii="Arial" w:hAnsi="Arial" w:cs="Arial"/>
                <w:sz w:val="22"/>
                <w:szCs w:val="22"/>
              </w:rPr>
            </w:pPr>
            <w:r>
              <w:rPr>
                <w:rFonts w:ascii="Arial" w:hAnsi="Arial" w:cs="Arial"/>
                <w:sz w:val="22"/>
                <w:szCs w:val="22"/>
              </w:rPr>
              <w:t>Dynegy</w:t>
            </w:r>
          </w:p>
          <w:p w14:paraId="15D20880" w14:textId="74568902" w:rsidR="008F0047" w:rsidRPr="008F0047" w:rsidRDefault="00007E78" w:rsidP="008F0047">
            <w:pPr>
              <w:jc w:val="center"/>
              <w:rPr>
                <w:rFonts w:ascii="Arial" w:hAnsi="Arial" w:cs="Arial"/>
                <w:sz w:val="22"/>
                <w:szCs w:val="22"/>
              </w:rPr>
            </w:pPr>
            <w:r>
              <w:rPr>
                <w:rFonts w:ascii="Arial" w:hAnsi="Arial" w:cs="Arial"/>
                <w:sz w:val="22"/>
                <w:szCs w:val="22"/>
              </w:rPr>
              <w:t>Customer Service Team</w:t>
            </w:r>
          </w:p>
          <w:p w14:paraId="359CC388" w14:textId="170CA073" w:rsidR="008F0047" w:rsidRPr="00D94BBD" w:rsidRDefault="00311BDE" w:rsidP="008F0047">
            <w:pPr>
              <w:jc w:val="center"/>
              <w:rPr>
                <w:rFonts w:ascii="Arial" w:hAnsi="Arial" w:cs="Arial"/>
                <w:sz w:val="22"/>
                <w:szCs w:val="22"/>
              </w:rPr>
            </w:pPr>
            <w:r>
              <w:rPr>
                <w:rFonts w:ascii="Arial" w:hAnsi="Arial" w:cs="Arial"/>
                <w:sz w:val="22"/>
                <w:szCs w:val="22"/>
              </w:rPr>
              <w:t>(</w:t>
            </w:r>
            <w:r w:rsidR="00007E78">
              <w:rPr>
                <w:rFonts w:ascii="Arial" w:hAnsi="Arial" w:cs="Arial"/>
                <w:sz w:val="22"/>
                <w:szCs w:val="22"/>
              </w:rPr>
              <w:t>888</w:t>
            </w:r>
            <w:r w:rsidR="009B3467">
              <w:rPr>
                <w:rFonts w:ascii="Arial" w:hAnsi="Arial" w:cs="Arial"/>
                <w:sz w:val="22"/>
                <w:szCs w:val="22"/>
              </w:rPr>
              <w:t xml:space="preserve">) </w:t>
            </w:r>
            <w:r w:rsidR="00007E78">
              <w:rPr>
                <w:rFonts w:ascii="Arial" w:hAnsi="Arial" w:cs="Arial"/>
                <w:sz w:val="22"/>
                <w:szCs w:val="22"/>
              </w:rPr>
              <w:t>682-2170</w:t>
            </w:r>
          </w:p>
        </w:tc>
        <w:tc>
          <w:tcPr>
            <w:tcW w:w="3840" w:type="dxa"/>
          </w:tcPr>
          <w:p w14:paraId="6CD07010" w14:textId="59A094C6" w:rsidR="008F0047" w:rsidRPr="00A94578" w:rsidRDefault="008F0047" w:rsidP="006B025E">
            <w:pPr>
              <w:pStyle w:val="BodyText"/>
              <w:ind w:left="72"/>
              <w:jc w:val="center"/>
              <w:rPr>
                <w:rFonts w:ascii="Arial" w:hAnsi="Arial" w:cs="Arial"/>
                <w:sz w:val="22"/>
                <w:szCs w:val="22"/>
              </w:rPr>
            </w:pPr>
          </w:p>
        </w:tc>
        <w:tc>
          <w:tcPr>
            <w:tcW w:w="3544" w:type="dxa"/>
          </w:tcPr>
          <w:p w14:paraId="39DFF77E" w14:textId="77777777" w:rsidR="00007E78" w:rsidRDefault="00007E78" w:rsidP="006B025E">
            <w:pPr>
              <w:pStyle w:val="NormalWeb"/>
              <w:spacing w:before="0" w:beforeAutospacing="0" w:after="0" w:afterAutospacing="0"/>
              <w:ind w:left="72"/>
              <w:jc w:val="center"/>
              <w:rPr>
                <w:rFonts w:ascii="Arial" w:hAnsi="Arial" w:cs="Arial"/>
                <w:sz w:val="22"/>
                <w:szCs w:val="22"/>
              </w:rPr>
            </w:pPr>
          </w:p>
          <w:p w14:paraId="1A2A3453" w14:textId="090903B5" w:rsidR="008F0047" w:rsidRPr="00A94578" w:rsidRDefault="00007E78" w:rsidP="006B025E">
            <w:pPr>
              <w:pStyle w:val="NormalWeb"/>
              <w:spacing w:before="0" w:beforeAutospacing="0" w:after="0" w:afterAutospacing="0"/>
              <w:ind w:left="72"/>
              <w:jc w:val="center"/>
              <w:rPr>
                <w:rFonts w:ascii="Arial" w:hAnsi="Arial" w:cs="Arial"/>
                <w:sz w:val="22"/>
                <w:szCs w:val="22"/>
              </w:rPr>
            </w:pPr>
            <w:r>
              <w:rPr>
                <w:rFonts w:ascii="Arial" w:hAnsi="Arial" w:cs="Arial"/>
                <w:sz w:val="22"/>
                <w:szCs w:val="22"/>
              </w:rPr>
              <w:t>Independent Energy Consultants</w:t>
            </w:r>
            <w:r w:rsidR="008F0047">
              <w:rPr>
                <w:rFonts w:ascii="Arial" w:hAnsi="Arial" w:cs="Arial"/>
                <w:sz w:val="22"/>
                <w:szCs w:val="22"/>
              </w:rPr>
              <w:br/>
              <w:t xml:space="preserve"> </w:t>
            </w:r>
            <w:r w:rsidR="00027B74">
              <w:rPr>
                <w:rFonts w:ascii="Arial" w:hAnsi="Arial" w:cs="Arial"/>
                <w:sz w:val="22"/>
                <w:szCs w:val="22"/>
              </w:rPr>
              <w:t>(</w:t>
            </w:r>
            <w:r>
              <w:rPr>
                <w:rFonts w:ascii="Arial" w:hAnsi="Arial" w:cs="Arial"/>
                <w:szCs w:val="22"/>
              </w:rPr>
              <w:t>330</w:t>
            </w:r>
            <w:r w:rsidR="00027B74">
              <w:rPr>
                <w:rFonts w:ascii="Arial" w:hAnsi="Arial" w:cs="Arial"/>
                <w:szCs w:val="22"/>
              </w:rPr>
              <w:t xml:space="preserve">) </w:t>
            </w:r>
            <w:r>
              <w:rPr>
                <w:rFonts w:ascii="Arial" w:hAnsi="Arial" w:cs="Arial"/>
                <w:szCs w:val="22"/>
              </w:rPr>
              <w:t>995-2675</w:t>
            </w:r>
          </w:p>
        </w:tc>
      </w:tr>
    </w:tbl>
    <w:p w14:paraId="30584222" w14:textId="77777777" w:rsidR="00546FF7" w:rsidRDefault="00546FF7"/>
    <w:p w14:paraId="44EDDA6F" w14:textId="77777777" w:rsidR="00546FF7" w:rsidRDefault="00546FF7"/>
    <w:p w14:paraId="73E1A41F" w14:textId="77777777" w:rsidR="00546FF7" w:rsidRPr="00E410A3" w:rsidRDefault="00546FF7" w:rsidP="00546FF7">
      <w:pPr>
        <w:pStyle w:val="BodyText"/>
        <w:rPr>
          <w:rFonts w:ascii="Arial" w:hAnsi="Arial" w:cs="Arial"/>
          <w:b/>
          <w:szCs w:val="22"/>
        </w:rPr>
      </w:pPr>
      <w:r w:rsidRPr="00E410A3">
        <w:rPr>
          <w:rFonts w:ascii="Arial" w:hAnsi="Arial" w:cs="Arial"/>
          <w:b/>
          <w:szCs w:val="22"/>
        </w:rPr>
        <w:t xml:space="preserve">For Immediate Release: </w:t>
      </w:r>
    </w:p>
    <w:p w14:paraId="32622443" w14:textId="77777777" w:rsidR="00546FF7" w:rsidRPr="00E410A3" w:rsidRDefault="00546FF7" w:rsidP="00546FF7">
      <w:pPr>
        <w:pStyle w:val="BodyText"/>
        <w:rPr>
          <w:rFonts w:ascii="Arial" w:hAnsi="Arial" w:cs="Arial"/>
          <w:b/>
          <w:bCs/>
          <w:szCs w:val="22"/>
          <w:u w:val="single"/>
        </w:rPr>
      </w:pPr>
    </w:p>
    <w:p w14:paraId="7A15E080" w14:textId="092EF1D0" w:rsidR="00546FF7" w:rsidRPr="00E410A3" w:rsidRDefault="001416A9" w:rsidP="00546FF7">
      <w:pPr>
        <w:pStyle w:val="BodyText"/>
        <w:jc w:val="center"/>
        <w:rPr>
          <w:rFonts w:ascii="Arial" w:hAnsi="Arial" w:cs="Arial"/>
          <w:b/>
          <w:bCs/>
          <w:szCs w:val="22"/>
          <w:u w:val="single"/>
        </w:rPr>
      </w:pPr>
      <w:r>
        <w:rPr>
          <w:rFonts w:ascii="Arial" w:hAnsi="Arial" w:cs="Arial"/>
          <w:b/>
          <w:bCs/>
          <w:szCs w:val="22"/>
          <w:u w:val="single"/>
        </w:rPr>
        <w:t>POLAND</w:t>
      </w:r>
      <w:r w:rsidR="009B3467">
        <w:rPr>
          <w:rFonts w:ascii="Arial" w:hAnsi="Arial" w:cs="Arial"/>
          <w:b/>
          <w:bCs/>
          <w:szCs w:val="22"/>
          <w:u w:val="single"/>
        </w:rPr>
        <w:t xml:space="preserve"> TOWNSHIP</w:t>
      </w:r>
      <w:r w:rsidR="008B7493">
        <w:rPr>
          <w:rFonts w:ascii="Arial" w:hAnsi="Arial" w:cs="Arial"/>
          <w:b/>
          <w:bCs/>
          <w:szCs w:val="22"/>
          <w:u w:val="single"/>
        </w:rPr>
        <w:t xml:space="preserve"> </w:t>
      </w:r>
      <w:r w:rsidR="00546FF7">
        <w:rPr>
          <w:rFonts w:ascii="Arial" w:hAnsi="Arial" w:cs="Arial"/>
          <w:b/>
          <w:bCs/>
          <w:szCs w:val="22"/>
          <w:u w:val="single"/>
        </w:rPr>
        <w:t>ELECTRIC AGGREGATION PROGRAM</w:t>
      </w:r>
    </w:p>
    <w:p w14:paraId="34527740" w14:textId="77777777" w:rsidR="00546FF7" w:rsidRPr="00E410A3" w:rsidRDefault="00546FF7" w:rsidP="00546FF7">
      <w:pPr>
        <w:pStyle w:val="BodyText"/>
        <w:rPr>
          <w:rFonts w:ascii="Arial" w:hAnsi="Arial" w:cs="Arial"/>
          <w:szCs w:val="22"/>
        </w:rPr>
      </w:pPr>
    </w:p>
    <w:p w14:paraId="5AB5A9B1" w14:textId="77777777" w:rsidR="00546FF7" w:rsidRDefault="00546FF7" w:rsidP="00546FF7">
      <w:pPr>
        <w:pStyle w:val="Heading1"/>
        <w:rPr>
          <w:rStyle w:val="hilite"/>
          <w:rFonts w:ascii="Arial" w:hAnsi="Arial" w:cs="Arial"/>
          <w:szCs w:val="22"/>
          <w:u w:val="none"/>
        </w:rPr>
      </w:pPr>
    </w:p>
    <w:p w14:paraId="5CF5ED26" w14:textId="7E9DD203" w:rsidR="00007E78" w:rsidRPr="00A70000" w:rsidRDefault="001416A9" w:rsidP="00007E78">
      <w:pPr>
        <w:pStyle w:val="Heading1"/>
        <w:rPr>
          <w:rFonts w:ascii="Arial" w:hAnsi="Arial" w:cs="Arial"/>
          <w:sz w:val="22"/>
          <w:szCs w:val="22"/>
          <w:u w:val="none"/>
        </w:rPr>
      </w:pPr>
      <w:r w:rsidRPr="00226309">
        <w:rPr>
          <w:rStyle w:val="hilite"/>
          <w:rFonts w:ascii="Arial" w:hAnsi="Arial" w:cs="Arial"/>
          <w:szCs w:val="24"/>
        </w:rPr>
        <w:t>Poland</w:t>
      </w:r>
      <w:r w:rsidR="009B3467" w:rsidRPr="00226309">
        <w:rPr>
          <w:rStyle w:val="hilite"/>
          <w:rFonts w:ascii="Arial" w:hAnsi="Arial" w:cs="Arial"/>
          <w:szCs w:val="24"/>
        </w:rPr>
        <w:t xml:space="preserve"> Township</w:t>
      </w:r>
      <w:r w:rsidR="00546FF7" w:rsidRPr="00226309">
        <w:rPr>
          <w:rStyle w:val="hilite"/>
          <w:rFonts w:ascii="Arial" w:hAnsi="Arial" w:cs="Arial"/>
          <w:szCs w:val="24"/>
        </w:rPr>
        <w:t xml:space="preserve">, Ohio – </w:t>
      </w:r>
      <w:r w:rsidR="00007E78" w:rsidRPr="00A70000">
        <w:rPr>
          <w:rFonts w:ascii="Arial" w:hAnsi="Arial" w:cs="Arial"/>
          <w:sz w:val="22"/>
          <w:szCs w:val="22"/>
          <w:u w:val="none"/>
        </w:rPr>
        <w:t xml:space="preserve">Opt-out letters will be mailing to current and newly eligible accounts in the electric aggregation program the week of </w:t>
      </w:r>
      <w:r w:rsidR="00007E78">
        <w:rPr>
          <w:rFonts w:ascii="Arial" w:hAnsi="Arial" w:cs="Arial"/>
          <w:sz w:val="22"/>
          <w:szCs w:val="22"/>
          <w:u w:val="none"/>
        </w:rPr>
        <w:t>February</w:t>
      </w:r>
      <w:r w:rsidR="00007E78" w:rsidRPr="00A70000">
        <w:rPr>
          <w:rFonts w:ascii="Arial" w:hAnsi="Arial" w:cs="Arial"/>
          <w:sz w:val="22"/>
          <w:szCs w:val="22"/>
          <w:u w:val="none"/>
        </w:rPr>
        <w:t xml:space="preserve"> </w:t>
      </w:r>
      <w:r w:rsidR="00007E78">
        <w:rPr>
          <w:rFonts w:ascii="Arial" w:hAnsi="Arial" w:cs="Arial"/>
          <w:sz w:val="22"/>
          <w:szCs w:val="22"/>
          <w:u w:val="none"/>
        </w:rPr>
        <w:t>24th</w:t>
      </w:r>
      <w:r w:rsidR="00007E78" w:rsidRPr="00A70000">
        <w:rPr>
          <w:rFonts w:ascii="Arial" w:hAnsi="Arial" w:cs="Arial"/>
          <w:sz w:val="22"/>
          <w:szCs w:val="22"/>
          <w:u w:val="none"/>
        </w:rPr>
        <w:t xml:space="preserve">. Starting with the </w:t>
      </w:r>
      <w:r w:rsidR="00007E78">
        <w:rPr>
          <w:rFonts w:ascii="Arial" w:hAnsi="Arial" w:cs="Arial"/>
          <w:sz w:val="22"/>
          <w:szCs w:val="22"/>
          <w:u w:val="none"/>
        </w:rPr>
        <w:t>May</w:t>
      </w:r>
      <w:r w:rsidR="00007E78" w:rsidRPr="00A70000">
        <w:rPr>
          <w:rFonts w:ascii="Arial" w:hAnsi="Arial" w:cs="Arial"/>
          <w:sz w:val="22"/>
          <w:szCs w:val="22"/>
          <w:u w:val="none"/>
        </w:rPr>
        <w:t xml:space="preserve"> 2025 meter reads, the aggregation program will offer a new fixed rate of </w:t>
      </w:r>
      <w:r w:rsidR="00007E78">
        <w:rPr>
          <w:rFonts w:ascii="Arial" w:hAnsi="Arial" w:cs="Arial"/>
          <w:sz w:val="22"/>
          <w:szCs w:val="22"/>
          <w:u w:val="none"/>
        </w:rPr>
        <w:t>8.69</w:t>
      </w:r>
      <w:r w:rsidR="00007E78" w:rsidRPr="00A70000">
        <w:rPr>
          <w:rFonts w:ascii="Arial" w:hAnsi="Arial" w:cs="Arial"/>
          <w:sz w:val="22"/>
          <w:szCs w:val="22"/>
          <w:u w:val="none"/>
        </w:rPr>
        <w:t xml:space="preserve"> cents/kWh for 12-months until the </w:t>
      </w:r>
      <w:r w:rsidR="00007E78">
        <w:rPr>
          <w:rFonts w:ascii="Arial" w:hAnsi="Arial" w:cs="Arial"/>
          <w:sz w:val="22"/>
          <w:szCs w:val="22"/>
          <w:u w:val="none"/>
        </w:rPr>
        <w:t>May</w:t>
      </w:r>
      <w:r w:rsidR="00007E78" w:rsidRPr="00A70000">
        <w:rPr>
          <w:rFonts w:ascii="Arial" w:hAnsi="Arial" w:cs="Arial"/>
          <w:sz w:val="22"/>
          <w:szCs w:val="22"/>
          <w:u w:val="none"/>
        </w:rPr>
        <w:t xml:space="preserve"> 2026 meter reads.  Residents and small businesses should look for a mailer to arrive on or about </w:t>
      </w:r>
      <w:r w:rsidR="00007E78">
        <w:rPr>
          <w:rFonts w:ascii="Arial" w:hAnsi="Arial" w:cs="Arial"/>
          <w:sz w:val="22"/>
          <w:szCs w:val="22"/>
          <w:u w:val="none"/>
        </w:rPr>
        <w:t>February</w:t>
      </w:r>
      <w:r w:rsidR="00007E78" w:rsidRPr="00A70000">
        <w:rPr>
          <w:rFonts w:ascii="Arial" w:hAnsi="Arial" w:cs="Arial"/>
          <w:sz w:val="22"/>
          <w:szCs w:val="22"/>
          <w:u w:val="none"/>
        </w:rPr>
        <w:t xml:space="preserve"> </w:t>
      </w:r>
      <w:r w:rsidR="00007E78">
        <w:rPr>
          <w:rFonts w:ascii="Arial" w:hAnsi="Arial" w:cs="Arial"/>
          <w:sz w:val="22"/>
          <w:szCs w:val="22"/>
          <w:u w:val="none"/>
        </w:rPr>
        <w:t>24th</w:t>
      </w:r>
      <w:r w:rsidR="00007E78" w:rsidRPr="00A70000">
        <w:rPr>
          <w:rFonts w:ascii="Arial" w:hAnsi="Arial" w:cs="Arial"/>
          <w:sz w:val="22"/>
          <w:szCs w:val="22"/>
          <w:u w:val="none"/>
        </w:rPr>
        <w:t xml:space="preserve">, concerning the new electric aggregation program offer from </w:t>
      </w:r>
      <w:r w:rsidR="00007E78">
        <w:rPr>
          <w:rFonts w:ascii="Arial" w:hAnsi="Arial" w:cs="Arial"/>
          <w:sz w:val="22"/>
          <w:szCs w:val="22"/>
          <w:u w:val="none"/>
        </w:rPr>
        <w:t>Dynegy</w:t>
      </w:r>
      <w:r w:rsidR="00007E78" w:rsidRPr="00A70000">
        <w:rPr>
          <w:rFonts w:ascii="Arial" w:hAnsi="Arial" w:cs="Arial"/>
          <w:sz w:val="22"/>
          <w:szCs w:val="22"/>
          <w:u w:val="none"/>
        </w:rPr>
        <w:t xml:space="preserve">. </w:t>
      </w:r>
    </w:p>
    <w:p w14:paraId="6197BFC4" w14:textId="77777777" w:rsidR="00007E78" w:rsidRPr="00A70000" w:rsidRDefault="00007E78" w:rsidP="00007E78">
      <w:pPr>
        <w:pStyle w:val="Heading1"/>
        <w:rPr>
          <w:rFonts w:ascii="Arial" w:hAnsi="Arial" w:cs="Arial"/>
          <w:sz w:val="22"/>
          <w:szCs w:val="22"/>
          <w:u w:val="none"/>
        </w:rPr>
      </w:pPr>
    </w:p>
    <w:p w14:paraId="15A4B0CD" w14:textId="77777777" w:rsidR="00007E78" w:rsidRPr="00A70000" w:rsidRDefault="00007E78" w:rsidP="00007E78">
      <w:pPr>
        <w:pStyle w:val="Heading1"/>
        <w:rPr>
          <w:rFonts w:ascii="Arial" w:hAnsi="Arial" w:cs="Arial"/>
          <w:sz w:val="22"/>
          <w:szCs w:val="22"/>
          <w:u w:val="none"/>
        </w:rPr>
      </w:pPr>
      <w:r w:rsidRPr="00A70000">
        <w:rPr>
          <w:rFonts w:ascii="Arial" w:hAnsi="Arial" w:cs="Arial"/>
          <w:sz w:val="22"/>
          <w:szCs w:val="22"/>
          <w:u w:val="none"/>
        </w:rPr>
        <w:t xml:space="preserve">The mailer will explain the offer the </w:t>
      </w:r>
      <w:r>
        <w:rPr>
          <w:rFonts w:ascii="Arial" w:hAnsi="Arial" w:cs="Arial"/>
          <w:sz w:val="22"/>
          <w:szCs w:val="22"/>
          <w:u w:val="none"/>
        </w:rPr>
        <w:t xml:space="preserve">Township </w:t>
      </w:r>
      <w:r w:rsidRPr="00A70000">
        <w:rPr>
          <w:rFonts w:ascii="Arial" w:hAnsi="Arial" w:cs="Arial"/>
          <w:sz w:val="22"/>
          <w:szCs w:val="22"/>
          <w:u w:val="none"/>
        </w:rPr>
        <w:t xml:space="preserve">negotiated and the means to opt-out should a customer not want to participate in the program. Residents will have 21 days to contact, or return an opt-out card to, </w:t>
      </w:r>
      <w:r>
        <w:rPr>
          <w:rFonts w:ascii="Arial" w:hAnsi="Arial" w:cs="Arial"/>
          <w:sz w:val="22"/>
          <w:szCs w:val="22"/>
          <w:u w:val="none"/>
        </w:rPr>
        <w:t>Dynegy</w:t>
      </w:r>
      <w:r w:rsidRPr="00A70000">
        <w:rPr>
          <w:rFonts w:ascii="Arial" w:hAnsi="Arial" w:cs="Arial"/>
          <w:sz w:val="22"/>
          <w:szCs w:val="22"/>
          <w:u w:val="none"/>
        </w:rPr>
        <w:t xml:space="preserve"> if they decide not to participate. </w:t>
      </w:r>
    </w:p>
    <w:p w14:paraId="6A1F5FD8" w14:textId="77777777" w:rsidR="00007E78" w:rsidRPr="00A70000" w:rsidRDefault="00007E78" w:rsidP="00007E78">
      <w:pPr>
        <w:ind w:firstLine="720"/>
        <w:rPr>
          <w:rFonts w:ascii="Arial" w:hAnsi="Arial" w:cs="Arial"/>
          <w:sz w:val="22"/>
          <w:szCs w:val="22"/>
        </w:rPr>
      </w:pPr>
    </w:p>
    <w:p w14:paraId="50ACC439" w14:textId="77777777" w:rsidR="00007E78" w:rsidRPr="00A70000" w:rsidRDefault="00007E78" w:rsidP="00007E78">
      <w:pPr>
        <w:rPr>
          <w:rFonts w:ascii="Arial" w:hAnsi="Arial" w:cs="Arial"/>
          <w:sz w:val="22"/>
          <w:szCs w:val="22"/>
        </w:rPr>
      </w:pPr>
      <w:r w:rsidRPr="00A70000">
        <w:rPr>
          <w:rFonts w:ascii="Arial" w:hAnsi="Arial" w:cs="Arial"/>
          <w:sz w:val="22"/>
          <w:szCs w:val="22"/>
        </w:rPr>
        <w:t>For current participants wishing to continue, or newly eligible accounts wishing to begin, participating in the aggregation program no action is needed in response to the letter you receive.  Only those wishing not to participate in the program should respond to their opt-out letter.</w:t>
      </w:r>
    </w:p>
    <w:p w14:paraId="0EF0A7FC" w14:textId="77777777" w:rsidR="00007E78" w:rsidRPr="00A70000" w:rsidRDefault="00007E78" w:rsidP="00007E78">
      <w:pPr>
        <w:ind w:firstLine="720"/>
        <w:rPr>
          <w:rFonts w:ascii="Arial" w:hAnsi="Arial" w:cs="Arial"/>
          <w:sz w:val="22"/>
          <w:szCs w:val="22"/>
        </w:rPr>
      </w:pPr>
    </w:p>
    <w:p w14:paraId="0ADA201C" w14:textId="77777777" w:rsidR="00007E78" w:rsidRPr="00A70000" w:rsidRDefault="00007E78" w:rsidP="00007E78">
      <w:pPr>
        <w:rPr>
          <w:rFonts w:ascii="Arial" w:hAnsi="Arial" w:cs="Arial"/>
          <w:sz w:val="22"/>
          <w:szCs w:val="22"/>
        </w:rPr>
      </w:pPr>
      <w:r w:rsidRPr="00A70000">
        <w:rPr>
          <w:rFonts w:ascii="Arial" w:hAnsi="Arial" w:cs="Arial"/>
          <w:sz w:val="22"/>
          <w:szCs w:val="22"/>
        </w:rPr>
        <w:t xml:space="preserve">We remind you that the aggregation program is simply another option for you to consider, and it is important that you make yourself aware of the other options available to you, specifically: </w:t>
      </w:r>
    </w:p>
    <w:p w14:paraId="6D0E7B28" w14:textId="77777777" w:rsidR="00007E78" w:rsidRPr="00A70000" w:rsidRDefault="00007E78" w:rsidP="00007E78">
      <w:pPr>
        <w:pStyle w:val="ListParagraph"/>
        <w:numPr>
          <w:ilvl w:val="0"/>
          <w:numId w:val="1"/>
        </w:numPr>
        <w:rPr>
          <w:rFonts w:ascii="Arial" w:eastAsia="Times New Roman" w:hAnsi="Arial" w:cs="Arial"/>
        </w:rPr>
      </w:pPr>
      <w:r w:rsidRPr="00A70000">
        <w:rPr>
          <w:rFonts w:ascii="Arial" w:eastAsia="Times New Roman" w:hAnsi="Arial" w:cs="Arial"/>
        </w:rPr>
        <w:t xml:space="preserve">The Public Utility Commission of Ohio provides a list of other publicly available offers on their website, </w:t>
      </w:r>
      <w:hyperlink r:id="rId10" w:history="1">
        <w:r w:rsidRPr="00A70000">
          <w:rPr>
            <w:rFonts w:ascii="Arial" w:eastAsia="Times New Roman" w:hAnsi="Arial" w:cs="Arial"/>
          </w:rPr>
          <w:t>www.energychoice.ohio.gov</w:t>
        </w:r>
      </w:hyperlink>
      <w:r w:rsidRPr="00A70000">
        <w:rPr>
          <w:rFonts w:ascii="Arial" w:eastAsia="Times New Roman" w:hAnsi="Arial" w:cs="Arial"/>
        </w:rPr>
        <w:t>.  Anyone considering these supply offers should be aware of any early termination penalties, fixed monthly charges, or automatic renewal provisions that can quickly offset any perceived savings.  Our program includes none of the above.</w:t>
      </w:r>
    </w:p>
    <w:p w14:paraId="5F979515" w14:textId="77777777" w:rsidR="00007E78" w:rsidRPr="00A70000" w:rsidRDefault="00007E78" w:rsidP="00007E78">
      <w:pPr>
        <w:pStyle w:val="ListParagraph"/>
        <w:numPr>
          <w:ilvl w:val="0"/>
          <w:numId w:val="1"/>
        </w:numPr>
        <w:rPr>
          <w:rFonts w:ascii="Arial" w:eastAsia="Times New Roman" w:hAnsi="Arial" w:cs="Arial"/>
        </w:rPr>
      </w:pPr>
      <w:r w:rsidRPr="00A70000">
        <w:rPr>
          <w:rFonts w:ascii="Arial" w:eastAsia="Times New Roman" w:hAnsi="Arial" w:cs="Arial"/>
        </w:rPr>
        <w:t xml:space="preserve">The utility’s default supply option, also known as your Price-to-Compare.  This is a variable rate option which is adjusted periodically. </w:t>
      </w:r>
    </w:p>
    <w:p w14:paraId="553F21AA" w14:textId="77777777" w:rsidR="00007E78" w:rsidRPr="00A70000" w:rsidRDefault="00007E78" w:rsidP="00007E78">
      <w:pPr>
        <w:autoSpaceDE w:val="0"/>
        <w:autoSpaceDN w:val="0"/>
        <w:adjustRightInd w:val="0"/>
        <w:rPr>
          <w:rFonts w:ascii="Arial" w:hAnsi="Arial" w:cs="Arial"/>
          <w:sz w:val="22"/>
          <w:szCs w:val="22"/>
        </w:rPr>
      </w:pPr>
      <w:r w:rsidRPr="00A70000">
        <w:rPr>
          <w:rFonts w:ascii="Arial" w:hAnsi="Arial" w:cs="Arial"/>
          <w:sz w:val="22"/>
          <w:szCs w:val="22"/>
        </w:rPr>
        <w:t xml:space="preserve">While the aggregation program has been able to protect participants from rising rates over the past several years, the rate for the new term will be rising to meet current market conditions. The aggregation will continue to provide a competitive price offer. However, it never guarantees to </w:t>
      </w:r>
      <w:proofErr w:type="gramStart"/>
      <w:r w:rsidRPr="00A70000">
        <w:rPr>
          <w:rFonts w:ascii="Arial" w:hAnsi="Arial" w:cs="Arial"/>
          <w:sz w:val="22"/>
          <w:szCs w:val="22"/>
        </w:rPr>
        <w:t>be the lowest available option at all times</w:t>
      </w:r>
      <w:proofErr w:type="gramEnd"/>
      <w:r w:rsidRPr="00A70000">
        <w:rPr>
          <w:rFonts w:ascii="Arial" w:hAnsi="Arial" w:cs="Arial"/>
          <w:sz w:val="22"/>
          <w:szCs w:val="22"/>
        </w:rPr>
        <w:t xml:space="preserve">.  Residents are reminded that the aggregation is simply one option for them to consider as they seek to manage their electric costs. </w:t>
      </w:r>
    </w:p>
    <w:p w14:paraId="71FB6B32" w14:textId="77777777" w:rsidR="00007E78" w:rsidRPr="00A70000" w:rsidRDefault="00007E78" w:rsidP="00007E78">
      <w:pPr>
        <w:pStyle w:val="Heading1"/>
        <w:rPr>
          <w:rFonts w:ascii="Arial" w:hAnsi="Arial" w:cs="Arial"/>
          <w:sz w:val="22"/>
          <w:szCs w:val="22"/>
        </w:rPr>
      </w:pPr>
    </w:p>
    <w:p w14:paraId="7637874E" w14:textId="77777777" w:rsidR="000478C2" w:rsidRDefault="00007E78" w:rsidP="00007E78">
      <w:pPr>
        <w:autoSpaceDE w:val="0"/>
        <w:autoSpaceDN w:val="0"/>
        <w:adjustRightInd w:val="0"/>
        <w:rPr>
          <w:sz w:val="22"/>
          <w:szCs w:val="22"/>
        </w:rPr>
      </w:pPr>
      <w:r w:rsidRPr="00A70000">
        <w:rPr>
          <w:rFonts w:ascii="Arial" w:hAnsi="Arial" w:cs="Arial"/>
          <w:sz w:val="22"/>
          <w:szCs w:val="22"/>
        </w:rPr>
        <w:t xml:space="preserve">The </w:t>
      </w:r>
      <w:r>
        <w:rPr>
          <w:rFonts w:ascii="Arial" w:hAnsi="Arial" w:cs="Arial"/>
          <w:sz w:val="22"/>
          <w:szCs w:val="22"/>
        </w:rPr>
        <w:t>Township</w:t>
      </w:r>
      <w:r w:rsidRPr="00A70000">
        <w:rPr>
          <w:rFonts w:ascii="Arial" w:hAnsi="Arial" w:cs="Arial"/>
          <w:sz w:val="22"/>
          <w:szCs w:val="22"/>
        </w:rPr>
        <w:t xml:space="preserve"> is pleased to have made this program possible but asks that you do not call the </w:t>
      </w:r>
      <w:r>
        <w:rPr>
          <w:rFonts w:ascii="Arial" w:hAnsi="Arial" w:cs="Arial"/>
          <w:sz w:val="22"/>
          <w:szCs w:val="22"/>
        </w:rPr>
        <w:t>Township</w:t>
      </w:r>
      <w:r w:rsidRPr="00A70000">
        <w:rPr>
          <w:rFonts w:ascii="Arial" w:hAnsi="Arial" w:cs="Arial"/>
          <w:sz w:val="22"/>
          <w:szCs w:val="22"/>
        </w:rPr>
        <w:t xml:space="preserve"> offices.  They are not equipped to handle a large volume of calls.</w:t>
      </w:r>
      <w:r w:rsidRPr="00A70000">
        <w:rPr>
          <w:sz w:val="22"/>
          <w:szCs w:val="22"/>
        </w:rPr>
        <w:t xml:space="preserve">  </w:t>
      </w:r>
    </w:p>
    <w:p w14:paraId="554C4158" w14:textId="3AF2230D" w:rsidR="00007E78" w:rsidRPr="002C7A2F" w:rsidRDefault="00007E78" w:rsidP="00007E78">
      <w:pPr>
        <w:autoSpaceDE w:val="0"/>
        <w:autoSpaceDN w:val="0"/>
        <w:adjustRightInd w:val="0"/>
      </w:pPr>
      <w:r w:rsidRPr="00A70000">
        <w:rPr>
          <w:rFonts w:ascii="Arial" w:hAnsi="Arial" w:cs="Arial"/>
          <w:sz w:val="22"/>
          <w:szCs w:val="22"/>
          <w:u w:val="single"/>
        </w:rPr>
        <w:t xml:space="preserve">Any residents with questions about their letter or status in the aggregation program should contact </w:t>
      </w:r>
      <w:r>
        <w:rPr>
          <w:rFonts w:ascii="Arial" w:hAnsi="Arial" w:cs="Arial"/>
          <w:sz w:val="22"/>
          <w:szCs w:val="22"/>
          <w:u w:val="single"/>
        </w:rPr>
        <w:t>Dynegy</w:t>
      </w:r>
      <w:r w:rsidRPr="00A70000">
        <w:rPr>
          <w:rFonts w:ascii="Arial" w:hAnsi="Arial" w:cs="Arial"/>
          <w:sz w:val="22"/>
          <w:szCs w:val="22"/>
          <w:u w:val="single"/>
        </w:rPr>
        <w:t xml:space="preserve"> at </w:t>
      </w:r>
      <w:r>
        <w:rPr>
          <w:rFonts w:ascii="Arial" w:hAnsi="Arial" w:cs="Arial"/>
          <w:sz w:val="22"/>
          <w:szCs w:val="22"/>
          <w:u w:val="single"/>
        </w:rPr>
        <w:t>888-682-2170</w:t>
      </w:r>
      <w:r w:rsidRPr="00A70000">
        <w:rPr>
          <w:rFonts w:ascii="Arial" w:hAnsi="Arial" w:cs="Arial"/>
          <w:sz w:val="22"/>
          <w:szCs w:val="22"/>
          <w:u w:val="single"/>
        </w:rPr>
        <w:t>.</w:t>
      </w:r>
    </w:p>
    <w:p w14:paraId="4D383C4D" w14:textId="6973A143" w:rsidR="00546FF7" w:rsidRDefault="00546FF7" w:rsidP="00007E78">
      <w:pPr>
        <w:ind w:firstLine="720"/>
      </w:pPr>
    </w:p>
    <w:sectPr w:rsidR="00546FF7" w:rsidSect="008F004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9BD9" w14:textId="77777777" w:rsidR="00361A7D" w:rsidRDefault="00361A7D" w:rsidP="008F0047">
      <w:r>
        <w:separator/>
      </w:r>
    </w:p>
  </w:endnote>
  <w:endnote w:type="continuationSeparator" w:id="0">
    <w:p w14:paraId="1D76594E" w14:textId="77777777" w:rsidR="00361A7D" w:rsidRDefault="00361A7D" w:rsidP="008F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949E" w14:textId="77777777" w:rsidR="00361A7D" w:rsidRDefault="00361A7D" w:rsidP="008F0047">
      <w:r>
        <w:separator/>
      </w:r>
    </w:p>
  </w:footnote>
  <w:footnote w:type="continuationSeparator" w:id="0">
    <w:p w14:paraId="61CE762E" w14:textId="77777777" w:rsidR="00361A7D" w:rsidRDefault="00361A7D" w:rsidP="008F0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13AB"/>
    <w:multiLevelType w:val="hybridMultilevel"/>
    <w:tmpl w:val="63681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449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F7"/>
    <w:rsid w:val="00007AC9"/>
    <w:rsid w:val="00007E78"/>
    <w:rsid w:val="00027B74"/>
    <w:rsid w:val="000478C2"/>
    <w:rsid w:val="000500F5"/>
    <w:rsid w:val="000A12F7"/>
    <w:rsid w:val="000A1F7F"/>
    <w:rsid w:val="000C3B4B"/>
    <w:rsid w:val="000E2F11"/>
    <w:rsid w:val="001416A9"/>
    <w:rsid w:val="00192CB0"/>
    <w:rsid w:val="00206124"/>
    <w:rsid w:val="002100D4"/>
    <w:rsid w:val="00214779"/>
    <w:rsid w:val="00226309"/>
    <w:rsid w:val="0024316A"/>
    <w:rsid w:val="00311BDE"/>
    <w:rsid w:val="0031422B"/>
    <w:rsid w:val="00361A7D"/>
    <w:rsid w:val="003A557C"/>
    <w:rsid w:val="003E5300"/>
    <w:rsid w:val="00452B51"/>
    <w:rsid w:val="00482AD6"/>
    <w:rsid w:val="00546FF7"/>
    <w:rsid w:val="005729A0"/>
    <w:rsid w:val="005B3746"/>
    <w:rsid w:val="00645D6F"/>
    <w:rsid w:val="00697712"/>
    <w:rsid w:val="006A741C"/>
    <w:rsid w:val="006E2554"/>
    <w:rsid w:val="00746DB1"/>
    <w:rsid w:val="008B7493"/>
    <w:rsid w:val="008F0047"/>
    <w:rsid w:val="00950A73"/>
    <w:rsid w:val="009B3467"/>
    <w:rsid w:val="00A13C96"/>
    <w:rsid w:val="00B87807"/>
    <w:rsid w:val="00C377E8"/>
    <w:rsid w:val="00CA4E47"/>
    <w:rsid w:val="00CC444F"/>
    <w:rsid w:val="00D16C76"/>
    <w:rsid w:val="00D94BBD"/>
    <w:rsid w:val="00E06336"/>
    <w:rsid w:val="00E1779C"/>
    <w:rsid w:val="00E818BF"/>
    <w:rsid w:val="00EE134C"/>
    <w:rsid w:val="00F11331"/>
    <w:rsid w:val="00F46A34"/>
    <w:rsid w:val="00F536ED"/>
    <w:rsid w:val="00F6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0BD4"/>
  <w15:chartTrackingRefBased/>
  <w15:docId w15:val="{ABB2163C-7DEA-4ED2-ADF4-F5B7C31A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F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46FF7"/>
    <w:pPr>
      <w:keepNext/>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6FF7"/>
    <w:rPr>
      <w:rFonts w:ascii="Times New Roman" w:eastAsia="Times New Roman" w:hAnsi="Times New Roman" w:cs="Times New Roman"/>
      <w:sz w:val="24"/>
      <w:szCs w:val="20"/>
      <w:u w:val="single"/>
    </w:rPr>
  </w:style>
  <w:style w:type="paragraph" w:styleId="BodyText">
    <w:name w:val="Body Text"/>
    <w:basedOn w:val="Normal"/>
    <w:link w:val="BodyTextChar"/>
    <w:semiHidden/>
    <w:rsid w:val="00546FF7"/>
    <w:rPr>
      <w:sz w:val="24"/>
    </w:rPr>
  </w:style>
  <w:style w:type="character" w:customStyle="1" w:styleId="BodyTextChar">
    <w:name w:val="Body Text Char"/>
    <w:basedOn w:val="DefaultParagraphFont"/>
    <w:link w:val="BodyText"/>
    <w:semiHidden/>
    <w:rsid w:val="00546FF7"/>
    <w:rPr>
      <w:rFonts w:ascii="Times New Roman" w:eastAsia="Times New Roman" w:hAnsi="Times New Roman" w:cs="Times New Roman"/>
      <w:sz w:val="24"/>
      <w:szCs w:val="20"/>
    </w:rPr>
  </w:style>
  <w:style w:type="character" w:customStyle="1" w:styleId="hilite">
    <w:name w:val="hilite"/>
    <w:rsid w:val="00546FF7"/>
    <w:rPr>
      <w:b/>
      <w:bCs/>
    </w:rPr>
  </w:style>
  <w:style w:type="table" w:styleId="TableGrid">
    <w:name w:val="Table Grid"/>
    <w:basedOn w:val="TableNormal"/>
    <w:uiPriority w:val="39"/>
    <w:rsid w:val="0054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8F0047"/>
    <w:pPr>
      <w:spacing w:before="100" w:beforeAutospacing="1" w:after="100" w:afterAutospacing="1"/>
    </w:pPr>
    <w:rPr>
      <w:sz w:val="24"/>
      <w:szCs w:val="24"/>
    </w:rPr>
  </w:style>
  <w:style w:type="paragraph" w:styleId="Header">
    <w:name w:val="header"/>
    <w:basedOn w:val="Normal"/>
    <w:link w:val="HeaderChar"/>
    <w:uiPriority w:val="99"/>
    <w:unhideWhenUsed/>
    <w:rsid w:val="008F0047"/>
    <w:pPr>
      <w:tabs>
        <w:tab w:val="center" w:pos="4680"/>
        <w:tab w:val="right" w:pos="9360"/>
      </w:tabs>
    </w:pPr>
  </w:style>
  <w:style w:type="character" w:customStyle="1" w:styleId="HeaderChar">
    <w:name w:val="Header Char"/>
    <w:basedOn w:val="DefaultParagraphFont"/>
    <w:link w:val="Header"/>
    <w:uiPriority w:val="99"/>
    <w:rsid w:val="008F004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0047"/>
    <w:pPr>
      <w:tabs>
        <w:tab w:val="center" w:pos="4680"/>
        <w:tab w:val="right" w:pos="9360"/>
      </w:tabs>
    </w:pPr>
  </w:style>
  <w:style w:type="character" w:customStyle="1" w:styleId="FooterChar">
    <w:name w:val="Footer Char"/>
    <w:basedOn w:val="DefaultParagraphFont"/>
    <w:link w:val="Footer"/>
    <w:uiPriority w:val="99"/>
    <w:rsid w:val="008F0047"/>
    <w:rPr>
      <w:rFonts w:ascii="Times New Roman" w:eastAsia="Times New Roman" w:hAnsi="Times New Roman" w:cs="Times New Roman"/>
      <w:sz w:val="20"/>
      <w:szCs w:val="20"/>
    </w:rPr>
  </w:style>
  <w:style w:type="paragraph" w:styleId="ListParagraph">
    <w:name w:val="List Paragraph"/>
    <w:basedOn w:val="Normal"/>
    <w:uiPriority w:val="34"/>
    <w:qFormat/>
    <w:rsid w:val="00007E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Regina\Downloads\www.energychoice.ohio.gov"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Township Administrator</cp:lastModifiedBy>
  <cp:revision>2</cp:revision>
  <dcterms:created xsi:type="dcterms:W3CDTF">2025-08-05T15:23:00Z</dcterms:created>
  <dcterms:modified xsi:type="dcterms:W3CDTF">2025-08-05T15:23:00Z</dcterms:modified>
</cp:coreProperties>
</file>